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仿宋" w:hAnsi="仿宋" w:eastAsia="仿宋" w:cs="宋体"/>
          <w:b/>
          <w:bCs/>
          <w:color w:val="000000"/>
          <w:kern w:val="0"/>
          <w:sz w:val="36"/>
          <w:szCs w:val="36"/>
        </w:rPr>
      </w:pPr>
      <w:r>
        <w:rPr>
          <w:rFonts w:hint="eastAsia" w:ascii="仿宋" w:hAnsi="仿宋" w:eastAsia="仿宋" w:cs="宋体"/>
          <w:b/>
          <w:bCs/>
          <w:color w:val="000000"/>
          <w:kern w:val="0"/>
          <w:sz w:val="36"/>
          <w:szCs w:val="36"/>
        </w:rPr>
        <w:t>出境定居提取住房公积金服务指南</w:t>
      </w:r>
    </w:p>
    <w:p>
      <w:pPr>
        <w:widowControl/>
        <w:shd w:val="clear" w:color="auto" w:fill="FFFFFF"/>
        <w:spacing w:line="36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 xml:space="preserve">                                </w:t>
      </w:r>
      <w:r>
        <w:rPr>
          <w:rFonts w:hint="eastAsia" w:ascii="仿宋" w:hAnsi="仿宋" w:eastAsia="仿宋" w:cs="宋体"/>
          <w:bCs/>
          <w:color w:val="000000"/>
          <w:kern w:val="0"/>
          <w:sz w:val="32"/>
          <w:szCs w:val="32"/>
        </w:rPr>
        <w:t>202</w:t>
      </w:r>
      <w:r>
        <w:rPr>
          <w:rFonts w:hint="eastAsia" w:ascii="仿宋" w:hAnsi="仿宋" w:eastAsia="仿宋" w:cs="宋体"/>
          <w:bCs/>
          <w:color w:val="000000"/>
          <w:kern w:val="0"/>
          <w:sz w:val="32"/>
          <w:szCs w:val="32"/>
          <w:lang w:val="en-US" w:eastAsia="zh-CN"/>
        </w:rPr>
        <w:t>3</w:t>
      </w:r>
      <w:r>
        <w:rPr>
          <w:rFonts w:hint="eastAsia" w:ascii="仿宋" w:hAnsi="仿宋" w:eastAsia="仿宋" w:cs="宋体"/>
          <w:bCs/>
          <w:color w:val="000000"/>
          <w:kern w:val="0"/>
          <w:sz w:val="32"/>
          <w:szCs w:val="32"/>
        </w:rPr>
        <w:t>-1</w:t>
      </w:r>
    </w:p>
    <w:p>
      <w:pPr>
        <w:widowControl/>
        <w:shd w:val="clear" w:color="auto" w:fill="FFFFFF"/>
        <w:spacing w:line="405" w:lineRule="atLeast"/>
        <w:ind w:firstLine="315" w:firstLineChars="98"/>
        <w:jc w:val="left"/>
        <w:rPr>
          <w:rFonts w:ascii="仿宋" w:hAnsi="仿宋" w:eastAsia="仿宋" w:cs="宋体"/>
          <w:b/>
          <w:color w:val="656565"/>
          <w:kern w:val="0"/>
          <w:sz w:val="32"/>
          <w:szCs w:val="32"/>
        </w:rPr>
      </w:pPr>
      <w:r>
        <w:rPr>
          <w:rFonts w:hint="eastAsia" w:ascii="仿宋" w:hAnsi="仿宋" w:eastAsia="仿宋" w:cs="宋体"/>
          <w:b/>
          <w:color w:val="000000"/>
          <w:kern w:val="0"/>
          <w:sz w:val="32"/>
          <w:szCs w:val="32"/>
        </w:rPr>
        <w:t>一、申请条件</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缴存人出境定居的。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二、设立依据</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《住房公积金管理条例》（1999年4月3日中华人民共和国国务院令第262号发布　根据2002年3月24日《国务院关于修改&lt;住房公积金管理条例&gt;的决定》修订）；第二十四条 职工有下列情形之一的，可以提取职工住房公积金账户内的存储余额： （一）购买、建造、翻建、大修自住住房的； （二）离休、退休的； （三）完全丧失劳动能力，并与单位终止劳动关系的； （四）出境定居的； （五）偿还购房贷款本息的； （六）房租超出家庭工资收入的规定比例的。 依照前款第（二）、（三）、（四）项规定，提取职工住房公积金的，应当同时注销职工住房公积金账户。 职工死亡或者被宣告死亡的，职工的继承人、受遗赠人可以提取职工住房公积金账户内的存储余额；无继承人也无受遗赠人的，职工住房公积金账户内的存储余额纳入住房公积金的增值收益。《广西住房公积金业务管理规范》（桂建金管〔2011〕26号）；</w:t>
      </w:r>
      <w:r>
        <w:rPr>
          <w:rFonts w:hint="eastAsia" w:ascii="仿宋" w:hAnsi="仿宋" w:eastAsia="仿宋" w:cs="宋体"/>
          <w:color w:val="000000"/>
          <w:kern w:val="0"/>
          <w:sz w:val="32"/>
          <w:szCs w:val="32"/>
          <w:lang w:val="en-US" w:eastAsia="zh-CN"/>
        </w:rPr>
        <w:t>4.1.1缴存人发生以下情形之一的，可按规定申请办理销户提取：1离休、退休的；2出境定居的；3到广西住房公积金管理辖区外工作的；4完全或者部分丧失劳动能力，并与单位终止劳动关系的；5与单位终止劳动、人事关系后两年没有建立新的劳动、人事关系的；6缴存人死亡、被宣告死亡或被宣告失踪的，缴存人的继承人、受遗赠人可以提取缴存人住房公积金明细账户内的全部存储余额。4.1.2缴存人发生以下情形之一的，可按规定申请办理非销户提取：1购买、建造、翻建、大修自住住房的；2偿还购建自住住房贷款本息的；3以自住为目的的租赁住房，租金超过家庭收入15%以上的；4享受城镇最低生活保障的；5家庭成员患重大疾病的。</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三、提取频次及额度</w:t>
      </w:r>
    </w:p>
    <w:p>
      <w:pPr>
        <w:widowControl/>
        <w:shd w:val="clear" w:color="auto" w:fill="FFFFFF"/>
        <w:spacing w:line="405" w:lineRule="atLeast"/>
        <w:ind w:firstLine="313" w:firstLineChars="9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个人住房公积金账户封存且不存在欠缴情况，一次性提取。</w:t>
      </w:r>
    </w:p>
    <w:p>
      <w:pPr>
        <w:widowControl/>
        <w:shd w:val="clear" w:color="auto" w:fill="FFFFFF"/>
        <w:spacing w:line="405" w:lineRule="atLeast"/>
        <w:ind w:firstLine="315" w:firstLineChars="98"/>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四、申请材料</w:t>
      </w:r>
    </w:p>
    <w:tbl>
      <w:tblPr>
        <w:tblStyle w:val="6"/>
        <w:tblW w:w="7968" w:type="dxa"/>
        <w:jc w:val="center"/>
        <w:tblCellSpacing w:w="0" w:type="dxa"/>
        <w:tblLayout w:type="autofit"/>
        <w:tblCellMar>
          <w:top w:w="0" w:type="dxa"/>
          <w:left w:w="0" w:type="dxa"/>
          <w:bottom w:w="0" w:type="dxa"/>
          <w:right w:w="0" w:type="dxa"/>
        </w:tblCellMar>
      </w:tblPr>
      <w:tblGrid>
        <w:gridCol w:w="1843"/>
        <w:gridCol w:w="6125"/>
      </w:tblGrid>
      <w:tr>
        <w:tblPrEx>
          <w:tblCellMar>
            <w:top w:w="0" w:type="dxa"/>
            <w:left w:w="0" w:type="dxa"/>
            <w:bottom w:w="0" w:type="dxa"/>
            <w:right w:w="0" w:type="dxa"/>
          </w:tblCellMar>
        </w:tblPrEx>
        <w:trPr>
          <w:trHeight w:val="375" w:hRule="atLeast"/>
          <w:tblCellSpacing w:w="0" w:type="dxa"/>
          <w:jc w:val="center"/>
        </w:trPr>
        <w:tc>
          <w:tcPr>
            <w:tcW w:w="1843"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提取原因</w:t>
            </w:r>
          </w:p>
        </w:tc>
        <w:tc>
          <w:tcPr>
            <w:tcW w:w="6125" w:type="dxa"/>
            <w:tcBorders>
              <w:top w:val="single" w:color="auto" w:sz="6" w:space="0"/>
              <w:left w:val="single" w:color="000000" w:sz="2"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hd w:val="clear" w:color="auto" w:fill="FFFFFF"/>
              <w:spacing w:line="300" w:lineRule="atLeast"/>
              <w:jc w:val="center"/>
              <w:rPr>
                <w:rFonts w:ascii="仿宋" w:hAnsi="仿宋" w:eastAsia="仿宋" w:cs="宋体"/>
                <w:color w:val="656565"/>
                <w:kern w:val="0"/>
                <w:sz w:val="32"/>
                <w:szCs w:val="32"/>
              </w:rPr>
            </w:pPr>
            <w:r>
              <w:rPr>
                <w:rFonts w:hint="eastAsia" w:ascii="仿宋" w:hAnsi="仿宋" w:eastAsia="仿宋" w:cs="宋体"/>
                <w:b/>
                <w:bCs/>
                <w:color w:val="000000"/>
                <w:kern w:val="0"/>
                <w:sz w:val="32"/>
                <w:szCs w:val="32"/>
              </w:rPr>
              <w:t>材料清单</w:t>
            </w:r>
          </w:p>
        </w:tc>
      </w:tr>
      <w:tr>
        <w:tblPrEx>
          <w:tblCellMar>
            <w:top w:w="0" w:type="dxa"/>
            <w:left w:w="0" w:type="dxa"/>
            <w:bottom w:w="0" w:type="dxa"/>
            <w:right w:w="0" w:type="dxa"/>
          </w:tblCellMar>
        </w:tblPrEx>
        <w:trPr>
          <w:tblCellSpacing w:w="0" w:type="dxa"/>
          <w:jc w:val="center"/>
        </w:trPr>
        <w:tc>
          <w:tcPr>
            <w:tcW w:w="1843"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300" w:lineRule="atLeast"/>
              <w:jc w:val="left"/>
              <w:rPr>
                <w:rFonts w:ascii="仿宋" w:hAnsi="仿宋" w:eastAsia="仿宋" w:cs="宋体"/>
                <w:color w:val="656565"/>
                <w:kern w:val="0"/>
                <w:sz w:val="32"/>
                <w:szCs w:val="32"/>
              </w:rPr>
            </w:pPr>
            <w:r>
              <w:rPr>
                <w:rFonts w:hint="eastAsia" w:ascii="仿宋" w:hAnsi="仿宋" w:eastAsia="仿宋" w:cs="宋体"/>
                <w:color w:val="000000"/>
                <w:kern w:val="0"/>
                <w:sz w:val="32"/>
                <w:szCs w:val="32"/>
              </w:rPr>
              <w:t>出境定居</w:t>
            </w:r>
          </w:p>
        </w:tc>
        <w:tc>
          <w:tcPr>
            <w:tcW w:w="6125" w:type="dxa"/>
            <w:tcBorders>
              <w:top w:val="nil"/>
              <w:left w:val="nil"/>
              <w:bottom w:val="single" w:color="auto" w:sz="6" w:space="0"/>
              <w:right w:val="single" w:color="auto" w:sz="6" w:space="0"/>
            </w:tcBorders>
            <w:shd w:val="clear" w:color="auto" w:fill="auto"/>
            <w:tcMar>
              <w:top w:w="0" w:type="dxa"/>
              <w:left w:w="105" w:type="dxa"/>
              <w:bottom w:w="0" w:type="dxa"/>
              <w:right w:w="105" w:type="dxa"/>
            </w:tcMar>
          </w:tcPr>
          <w:p>
            <w:pPr>
              <w:widowControl/>
              <w:spacing w:line="31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 身份证（原件）；</w:t>
            </w:r>
          </w:p>
          <w:p>
            <w:pPr>
              <w:widowControl/>
              <w:spacing w:line="315" w:lineRule="atLeast"/>
              <w:ind w:firstLine="21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2.公安等相关部门签发的移民批准文件或定居国（地区）长期居住证明（原件）。</w:t>
            </w:r>
          </w:p>
        </w:tc>
      </w:tr>
    </w:tbl>
    <w:p>
      <w:pPr>
        <w:widowControl/>
        <w:numPr>
          <w:ilvl w:val="0"/>
          <w:numId w:val="1"/>
        </w:numPr>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办理方式及流程</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一、办理方式</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（一）柜台办理：申请人提供要件材料前往以下网点→经办网点受理→中心审批（不超过3个工作日）→提取转账。</w:t>
      </w:r>
    </w:p>
    <w:tbl>
      <w:tblPr>
        <w:tblStyle w:val="6"/>
        <w:tblpPr w:leftFromText="180" w:rightFromText="180" w:vertAnchor="text" w:horzAnchor="page" w:tblpX="1570" w:tblpY="477"/>
        <w:tblOverlap w:val="never"/>
        <w:tblW w:w="8820" w:type="dxa"/>
        <w:tblInd w:w="0" w:type="dxa"/>
        <w:tblLayout w:type="fixed"/>
        <w:tblCellMar>
          <w:top w:w="0" w:type="dxa"/>
          <w:left w:w="108" w:type="dxa"/>
          <w:bottom w:w="0" w:type="dxa"/>
          <w:right w:w="108" w:type="dxa"/>
        </w:tblCellMar>
      </w:tblPr>
      <w:tblGrid>
        <w:gridCol w:w="1395"/>
        <w:gridCol w:w="1545"/>
        <w:gridCol w:w="1605"/>
        <w:gridCol w:w="4275"/>
      </w:tblGrid>
      <w:tr>
        <w:tblPrEx>
          <w:tblCellMar>
            <w:top w:w="0" w:type="dxa"/>
            <w:left w:w="108" w:type="dxa"/>
            <w:bottom w:w="0" w:type="dxa"/>
            <w:right w:w="108" w:type="dxa"/>
          </w:tblCellMar>
        </w:tblPrEx>
        <w:trPr>
          <w:trHeight w:val="638" w:hRule="atLeast"/>
        </w:trPr>
        <w:tc>
          <w:tcPr>
            <w:tcW w:w="13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部室</w:t>
            </w:r>
          </w:p>
        </w:tc>
        <w:tc>
          <w:tcPr>
            <w:tcW w:w="15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电话（0772）</w:t>
            </w:r>
          </w:p>
        </w:tc>
        <w:tc>
          <w:tcPr>
            <w:tcW w:w="16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办理时间</w:t>
            </w:r>
          </w:p>
        </w:tc>
        <w:tc>
          <w:tcPr>
            <w:tcW w:w="4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地址</w:t>
            </w:r>
          </w:p>
        </w:tc>
      </w:tr>
      <w:tr>
        <w:tblPrEx>
          <w:tblCellMar>
            <w:top w:w="0" w:type="dxa"/>
            <w:left w:w="108" w:type="dxa"/>
            <w:bottom w:w="0" w:type="dxa"/>
            <w:right w:w="108" w:type="dxa"/>
          </w:tblCellMar>
        </w:tblPrEx>
        <w:trPr>
          <w:trHeight w:val="953"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2802577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柳州市高新一路北一巷7号7楼2、3、4、5、6号窗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中山东路营业部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2125890</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柳州市中山东路11号2楼1、2、3号窗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柳东营业部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ascii="仿宋" w:hAnsi="仿宋" w:eastAsia="仿宋" w:cs="宋体"/>
                <w:color w:val="000000"/>
                <w:kern w:val="0"/>
                <w:sz w:val="24"/>
                <w:szCs w:val="24"/>
              </w:rPr>
              <w:t>2558083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13:00-16:30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柳州市鱼峰区龙湖路13号柳州市民服务中心南楼6层柳州市住房公积金管理中心柳东营业部大厅1号综合窗口、3-5号综合窗口、7号综合业务窗口</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柳江营业部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7215553</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柳江区拉堡镇柳东路69号1、2、3号窗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7611966</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柳城县大埔镇胜利东路4号2、3号窗</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6813609</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鹿寨县鹿寨镇创业路15号1、2号窗</w:t>
            </w:r>
          </w:p>
        </w:tc>
      </w:tr>
      <w:tr>
        <w:tblPrEx>
          <w:tblCellMar>
            <w:top w:w="0" w:type="dxa"/>
            <w:left w:w="108" w:type="dxa"/>
            <w:bottom w:w="0" w:type="dxa"/>
            <w:right w:w="108" w:type="dxa"/>
          </w:tblCellMar>
        </w:tblPrEx>
        <w:trPr>
          <w:trHeight w:val="638"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融水管理部</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5135305</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5123607</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融水县镇寿星南路融水商贸城F16栋1、2号柜台</w:t>
            </w:r>
          </w:p>
        </w:tc>
      </w:tr>
      <w:tr>
        <w:tblPrEx>
          <w:tblCellMar>
            <w:top w:w="0" w:type="dxa"/>
            <w:left w:w="108" w:type="dxa"/>
            <w:bottom w:w="0" w:type="dxa"/>
            <w:right w:w="108" w:type="dxa"/>
          </w:tblCellMar>
        </w:tblPrEx>
        <w:trPr>
          <w:trHeight w:val="49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8122255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融安县工商银行大厦二楼1号办公室</w:t>
            </w:r>
          </w:p>
        </w:tc>
      </w:tr>
      <w:tr>
        <w:tblPrEx>
          <w:tblCellMar>
            <w:top w:w="0" w:type="dxa"/>
            <w:left w:w="108" w:type="dxa"/>
            <w:bottom w:w="0" w:type="dxa"/>
            <w:right w:w="108" w:type="dxa"/>
          </w:tblCellMar>
        </w:tblPrEx>
        <w:trPr>
          <w:trHeight w:val="515" w:hRule="atLeast"/>
        </w:trPr>
        <w:tc>
          <w:tcPr>
            <w:tcW w:w="13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三江管理部</w:t>
            </w:r>
          </w:p>
        </w:tc>
        <w:tc>
          <w:tcPr>
            <w:tcW w:w="154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8612795</w:t>
            </w:r>
          </w:p>
        </w:tc>
        <w:tc>
          <w:tcPr>
            <w:tcW w:w="16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工作日：9:00-12:00  13:00-16:00</w:t>
            </w:r>
          </w:p>
        </w:tc>
        <w:tc>
          <w:tcPr>
            <w:tcW w:w="427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三江县古宜镇雅谷路116号1、2、3、4号窗</w:t>
            </w:r>
          </w:p>
        </w:tc>
      </w:tr>
    </w:tbl>
    <w:p>
      <w:pPr>
        <w:widowControl/>
        <w:shd w:val="clear" w:color="auto" w:fill="FFFFFF"/>
        <w:spacing w:line="300" w:lineRule="atLeast"/>
        <w:jc w:val="left"/>
        <w:rPr>
          <w:rFonts w:ascii="仿宋" w:hAnsi="仿宋" w:eastAsia="仿宋" w:cs="宋体"/>
          <w:color w:val="000000"/>
          <w:kern w:val="0"/>
          <w:sz w:val="32"/>
          <w:szCs w:val="32"/>
        </w:rPr>
      </w:pPr>
    </w:p>
    <w:p>
      <w:pPr>
        <w:widowControl/>
        <w:numPr>
          <w:ilvl w:val="0"/>
          <w:numId w:val="2"/>
        </w:numPr>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网上办理：申请人办理提取→中心审批（不超过3个工作日）→提取转账。</w:t>
      </w:r>
    </w:p>
    <w:p>
      <w:pPr>
        <w:widowControl/>
        <w:shd w:val="clear" w:color="auto" w:fill="FFFFFF"/>
        <w:spacing w:line="405"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柳州市住房公积金管理中心网站（http://wt.zfgjj.liuzhou.gov.cn/lznt/login.do）</w:t>
      </w:r>
    </w:p>
    <w:p>
      <w:pPr>
        <w:widowControl/>
        <w:shd w:val="clear" w:color="auto" w:fill="FFFFFF"/>
        <w:spacing w:line="405" w:lineRule="atLeast"/>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二、办理时限及流程图</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ascii="仿宋" w:hAnsi="仿宋" w:eastAsia="仿宋" w:cs="宋体"/>
          <w:color w:val="000000"/>
          <w:kern w:val="0"/>
          <w:sz w:val="32"/>
          <w:szCs w:val="32"/>
        </w:rPr>
        <w:drawing>
          <wp:inline distT="0" distB="0" distL="114300" distR="114300">
            <wp:extent cx="5268595" cy="3087370"/>
            <wp:effectExtent l="0" t="0" r="8255" b="1778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5"/>
                    <a:stretch>
                      <a:fillRect/>
                    </a:stretch>
                  </pic:blipFill>
                  <pic:spPr>
                    <a:xfrm>
                      <a:off x="0" y="0"/>
                      <a:ext cx="5268595" cy="3087370"/>
                    </a:xfrm>
                    <a:prstGeom prst="rect">
                      <a:avLst/>
                    </a:prstGeom>
                  </pic:spPr>
                </pic:pic>
              </a:graphicData>
            </a:graphic>
          </wp:inline>
        </w:drawing>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405" w:lineRule="atLeast"/>
        <w:ind w:firstLine="643" w:firstLineChars="2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六、事项说明</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委托代办：除申请人身份证原件和上表所列材料外，还需提供申请人书面授权委托书（需申请人签名按手印）和代办人身份证原件。住房公积金提取代办委托书可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我中心网站下载。</w:t>
      </w:r>
    </w:p>
    <w:p>
      <w:pPr>
        <w:widowControl/>
        <w:shd w:val="clear" w:color="auto" w:fill="FFFFFF"/>
        <w:spacing w:line="405" w:lineRule="atLeast"/>
        <w:ind w:firstLine="482"/>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七、其他</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1.</w:t>
      </w:r>
      <w:r>
        <w:rPr>
          <w:rFonts w:hint="eastAsia" w:ascii="仿宋" w:hAnsi="仿宋" w:eastAsia="仿宋" w:cs="宋体"/>
          <w:color w:val="000000"/>
          <w:kern w:val="0"/>
          <w:sz w:val="32"/>
          <w:szCs w:val="32"/>
          <w:lang w:eastAsia="zh-CN"/>
        </w:rPr>
        <w:t>收费标准：免费。</w:t>
      </w:r>
    </w:p>
    <w:p>
      <w:pPr>
        <w:widowControl/>
        <w:shd w:val="clear" w:color="auto" w:fill="FFFFFF"/>
        <w:spacing w:line="405" w:lineRule="atLeast"/>
        <w:ind w:firstLine="482"/>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政策咨询电话：（0772）12329</w:t>
      </w:r>
      <w:r>
        <w:rPr>
          <w:rFonts w:hint="eastAsia" w:ascii="仿宋" w:hAnsi="仿宋" w:eastAsia="仿宋" w:cs="宋体"/>
          <w:color w:val="000000"/>
          <w:kern w:val="0"/>
          <w:sz w:val="32"/>
          <w:szCs w:val="32"/>
          <w:lang w:eastAsia="zh-CN"/>
        </w:rPr>
        <w:t>。</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职工个人公积金账户情况可通过柳州市住房公积金管理中心微信公众号，柳州市住房公积金管理中心网站http://zfgjj.liuzhou.gov.cn/“网上服务大厅”,龙城市民云APP，智桂通，支付宝，全国住房公积金公共服务小程序查询。</w:t>
      </w:r>
      <w:bookmarkStart w:id="0" w:name="_GoBack"/>
      <w:bookmarkEnd w:id="0"/>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.绑定个人银行卡：确定提取资金转入资金已在我中心绑定的本人一类银行借记卡的，办理业务时可不提供相应银行卡。个人银行卡可</w:t>
      </w:r>
      <w:r>
        <w:rPr>
          <w:rFonts w:hint="eastAsia" w:ascii="仿宋" w:hAnsi="仿宋" w:eastAsia="仿宋" w:cs="宋体"/>
          <w:color w:val="000000"/>
          <w:kern w:val="0"/>
          <w:sz w:val="32"/>
          <w:szCs w:val="32"/>
          <w:lang w:eastAsia="zh-CN"/>
        </w:rPr>
        <w:t>登录</w:t>
      </w:r>
      <w:r>
        <w:rPr>
          <w:rFonts w:hint="eastAsia" w:ascii="仿宋" w:hAnsi="仿宋" w:eastAsia="仿宋" w:cs="宋体"/>
          <w:color w:val="000000"/>
          <w:kern w:val="0"/>
          <w:sz w:val="32"/>
          <w:szCs w:val="32"/>
        </w:rPr>
        <w:t>我中心微信公众号进行绑定，办理业务前请确认所提供的银行卡状态正常。</w:t>
      </w:r>
    </w:p>
    <w:p>
      <w:pPr>
        <w:widowControl/>
        <w:shd w:val="clear" w:color="auto" w:fill="FFFFFF"/>
        <w:spacing w:line="405" w:lineRule="atLeast"/>
        <w:ind w:firstLine="482"/>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rPr>
        <w:t>.中心微信公众号二维码</w:t>
      </w:r>
    </w:p>
    <w:p>
      <w:pPr>
        <w:widowControl/>
        <w:shd w:val="clear" w:color="auto" w:fill="FFFFFF"/>
        <w:spacing w:line="405" w:lineRule="atLeast"/>
        <w:ind w:firstLine="482"/>
        <w:jc w:val="left"/>
        <w:rPr>
          <w:rFonts w:ascii="仿宋" w:hAnsi="仿宋" w:eastAsia="仿宋" w:cs="宋体"/>
          <w:color w:val="000000"/>
          <w:kern w:val="0"/>
          <w:sz w:val="32"/>
          <w:szCs w:val="32"/>
        </w:rPr>
      </w:pPr>
    </w:p>
    <w:p>
      <w:pPr>
        <w:widowControl/>
        <w:shd w:val="clear" w:color="auto" w:fill="FFFFFF"/>
        <w:spacing w:line="285" w:lineRule="atLeast"/>
        <w:ind w:firstLine="48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drawing>
          <wp:inline distT="0" distB="0" distL="114300" distR="114300">
            <wp:extent cx="1409700" cy="1533525"/>
            <wp:effectExtent l="0" t="0" r="0" b="952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6"/>
                    <a:stretch>
                      <a:fillRect/>
                    </a:stretch>
                  </pic:blipFill>
                  <pic:spPr>
                    <a:xfrm>
                      <a:off x="0" y="0"/>
                      <a:ext cx="1414145" cy="1538360"/>
                    </a:xfrm>
                    <a:prstGeom prst="rect">
                      <a:avLst/>
                    </a:prstGeom>
                  </pic:spPr>
                </pic:pic>
              </a:graphicData>
            </a:graphic>
          </wp:inline>
        </w:drawing>
      </w:r>
    </w:p>
    <w:p>
      <w:pPr>
        <w:spacing w:line="405" w:lineRule="atLeast"/>
        <w:ind w:firstLine="640" w:firstLineChars="200"/>
        <w:rPr>
          <w:rFonts w:ascii="仿宋" w:hAnsi="仿宋" w:eastAsia="仿宋"/>
          <w:sz w:val="32"/>
          <w:szCs w:val="32"/>
        </w:rPr>
      </w:pPr>
    </w:p>
    <w:p>
      <w:pPr>
        <w:spacing w:line="405" w:lineRule="atLeas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、全国住房公积金小程序</w:t>
      </w:r>
    </w:p>
    <w:p>
      <w:pPr>
        <w:spacing w:line="405" w:lineRule="atLeast"/>
        <w:ind w:firstLine="640" w:firstLineChars="200"/>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4445</wp:posOffset>
                </wp:positionV>
                <wp:extent cx="1646555" cy="266700"/>
                <wp:effectExtent l="0" t="0" r="10795" b="0"/>
                <wp:wrapNone/>
                <wp:docPr id="2" name="文本框 1"/>
                <wp:cNvGraphicFramePr/>
                <a:graphic xmlns:a="http://schemas.openxmlformats.org/drawingml/2006/main">
                  <a:graphicData uri="http://schemas.microsoft.com/office/word/2010/wordprocessingShape">
                    <wps:wsp>
                      <wps:cNvSpPr txBox="1"/>
                      <wps:spPr>
                        <a:xfrm>
                          <a:off x="0" y="0"/>
                          <a:ext cx="1646555" cy="2667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wps:txbx>
                      <wps:bodyPr vertOverflow="clip" horzOverflow="clip" wrap="square" rtlCol="0" anchor="t">
                        <a:noAutofit/>
                      </wps:bodyPr>
                    </wps:wsp>
                  </a:graphicData>
                </a:graphic>
              </wp:anchor>
            </w:drawing>
          </mc:Choice>
          <mc:Fallback>
            <w:pict>
              <v:shape id="文本框 1" o:spid="_x0000_s1026" o:spt="202" type="#_x0000_t202" style="position:absolute;left:0pt;margin-left:35.35pt;margin-top:0.35pt;height:21pt;width:129.65pt;z-index:251660288;mso-width-relative:page;mso-height-relative:page;" fillcolor="#FFFFFF [3201]" filled="t" stroked="f" coordsize="21600,21600" o:gfxdata="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kgdf1AAAAAYBAAAPAAAAAAAAAAEAIAAAACIAAABkcnMvZG93bnJldi54bWxQ&#10;SwECFAAUAAAACACHTuJAPtuGJvsBAADlAwAADgAAAAAAAAABACAAAAAjAQAAZHJzL2Uyb0RvYy54&#10;bWxQSwUGAAAAAAYABgBZAQAAkAUAAAAA&#10;">
                <v:fill on="t" focussize="0,0"/>
                <v:stroke on="f"/>
                <v:imagedata o:title=""/>
                <o:lock v:ext="edit" aspectratio="f"/>
                <v:textbox>
                  <w:txbxContent>
                    <w:p>
                      <w:pPr>
                        <w:pStyle w:val="5"/>
                        <w:spacing w:before="0" w:beforeAutospacing="0" w:after="0" w:afterAutospacing="0"/>
                        <w:rPr>
                          <w:b w:val="0"/>
                          <w:bCs w:val="0"/>
                        </w:rPr>
                      </w:pPr>
                      <w:r>
                        <w:rPr>
                          <w:rFonts w:hint="eastAsia" w:asciiTheme="minorHAnsi" w:eastAsiaTheme="minorEastAsia" w:cstheme="minorBidi"/>
                          <w:b w:val="0"/>
                          <w:bCs w:val="0"/>
                          <w:color w:val="000000" w:themeColor="dark1"/>
                          <w:sz w:val="20"/>
                          <w:szCs w:val="20"/>
                          <w14:textFill>
                            <w14:solidFill>
                              <w14:schemeClr w14:val="dk1"/>
                            </w14:solidFill>
                          </w14:textFill>
                        </w:rPr>
                        <w:t>全国住房公积金小程序</w:t>
                      </w:r>
                    </w:p>
                  </w:txbxContent>
                </v:textbox>
              </v:shape>
            </w:pict>
          </mc:Fallback>
        </mc:AlternateContent>
      </w:r>
      <w:r>
        <w:rPr>
          <w:rFonts w:ascii="仿宋" w:hAnsi="仿宋" w:eastAsia="仿宋"/>
          <w:sz w:val="32"/>
          <w:szCs w:val="32"/>
        </w:rPr>
        <w:drawing>
          <wp:inline distT="0" distB="0" distL="0" distR="0">
            <wp:extent cx="1466850" cy="1590675"/>
            <wp:effectExtent l="0" t="0" r="0" b="9525"/>
            <wp:docPr id="17838" name="图片 1" descr="微信图片_2021102115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8" name="图片 1" descr="微信图片_20211021155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66850" cy="1590675"/>
                    </a:xfrm>
                    <a:prstGeom prst="rect">
                      <a:avLst/>
                    </a:prstGeom>
                    <a:noFill/>
                    <a:ln>
                      <a:noFill/>
                    </a:ln>
                  </pic:spPr>
                </pic:pic>
              </a:graphicData>
            </a:graphic>
          </wp:inline>
        </w:drawing>
      </w:r>
    </w:p>
    <w:p>
      <w:pPr>
        <w:widowControl/>
        <w:shd w:val="clear" w:color="auto" w:fill="FFFFFF"/>
        <w:spacing w:line="405" w:lineRule="atLeast"/>
        <w:ind w:firstLine="482"/>
        <w:jc w:val="lef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C7BBC"/>
    <w:multiLevelType w:val="singleLevel"/>
    <w:tmpl w:val="040C7BBC"/>
    <w:lvl w:ilvl="0" w:tentative="0">
      <w:start w:val="5"/>
      <w:numFmt w:val="chineseCounting"/>
      <w:suff w:val="nothing"/>
      <w:lvlText w:val="%1、"/>
      <w:lvlJc w:val="left"/>
      <w:rPr>
        <w:rFonts w:hint="eastAsia"/>
      </w:rPr>
    </w:lvl>
  </w:abstractNum>
  <w:abstractNum w:abstractNumId="1">
    <w:nsid w:val="5560DA46"/>
    <w:multiLevelType w:val="singleLevel"/>
    <w:tmpl w:val="5560DA4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xNjAzMTdiNWM4ODg2YWNlZTM1MjM1OWE1YWVmYzIifQ=="/>
  </w:docVars>
  <w:rsids>
    <w:rsidRoot w:val="00B72730"/>
    <w:rsid w:val="00024D7E"/>
    <w:rsid w:val="0003411E"/>
    <w:rsid w:val="0004286B"/>
    <w:rsid w:val="00042C56"/>
    <w:rsid w:val="00071BFE"/>
    <w:rsid w:val="000941DA"/>
    <w:rsid w:val="00116080"/>
    <w:rsid w:val="001168B4"/>
    <w:rsid w:val="0013314B"/>
    <w:rsid w:val="00150998"/>
    <w:rsid w:val="00166302"/>
    <w:rsid w:val="001B1120"/>
    <w:rsid w:val="001B354D"/>
    <w:rsid w:val="001B50F0"/>
    <w:rsid w:val="001D2B4E"/>
    <w:rsid w:val="00211C36"/>
    <w:rsid w:val="0022461E"/>
    <w:rsid w:val="00237884"/>
    <w:rsid w:val="00247B32"/>
    <w:rsid w:val="00251457"/>
    <w:rsid w:val="00261C3F"/>
    <w:rsid w:val="00280AE3"/>
    <w:rsid w:val="002A4A86"/>
    <w:rsid w:val="002B66E0"/>
    <w:rsid w:val="002C0DFF"/>
    <w:rsid w:val="002F54A3"/>
    <w:rsid w:val="003204E3"/>
    <w:rsid w:val="0033009E"/>
    <w:rsid w:val="00387FD1"/>
    <w:rsid w:val="003A6941"/>
    <w:rsid w:val="003A6A8F"/>
    <w:rsid w:val="003B10D8"/>
    <w:rsid w:val="00410534"/>
    <w:rsid w:val="00415066"/>
    <w:rsid w:val="0041624A"/>
    <w:rsid w:val="00421AD6"/>
    <w:rsid w:val="00427745"/>
    <w:rsid w:val="00430E6F"/>
    <w:rsid w:val="004365B6"/>
    <w:rsid w:val="0043772B"/>
    <w:rsid w:val="00457889"/>
    <w:rsid w:val="00472C49"/>
    <w:rsid w:val="00473378"/>
    <w:rsid w:val="00473C6F"/>
    <w:rsid w:val="00476C61"/>
    <w:rsid w:val="004A0A3D"/>
    <w:rsid w:val="004A5EE9"/>
    <w:rsid w:val="004C0341"/>
    <w:rsid w:val="00500E86"/>
    <w:rsid w:val="005149B0"/>
    <w:rsid w:val="00536154"/>
    <w:rsid w:val="00562E15"/>
    <w:rsid w:val="00582699"/>
    <w:rsid w:val="00596EA4"/>
    <w:rsid w:val="005F590C"/>
    <w:rsid w:val="00637E60"/>
    <w:rsid w:val="0065664E"/>
    <w:rsid w:val="00660A75"/>
    <w:rsid w:val="00677020"/>
    <w:rsid w:val="006A3815"/>
    <w:rsid w:val="006B53C4"/>
    <w:rsid w:val="006E76B5"/>
    <w:rsid w:val="00704BAC"/>
    <w:rsid w:val="00731703"/>
    <w:rsid w:val="0075429E"/>
    <w:rsid w:val="007615B6"/>
    <w:rsid w:val="00796255"/>
    <w:rsid w:val="007C0A9B"/>
    <w:rsid w:val="007D69A7"/>
    <w:rsid w:val="007F2640"/>
    <w:rsid w:val="00827369"/>
    <w:rsid w:val="00856123"/>
    <w:rsid w:val="008E43B6"/>
    <w:rsid w:val="009008F8"/>
    <w:rsid w:val="00900A12"/>
    <w:rsid w:val="009013C8"/>
    <w:rsid w:val="009177AD"/>
    <w:rsid w:val="00921A5D"/>
    <w:rsid w:val="009535CC"/>
    <w:rsid w:val="00956864"/>
    <w:rsid w:val="009578F0"/>
    <w:rsid w:val="00964128"/>
    <w:rsid w:val="00967811"/>
    <w:rsid w:val="00991A46"/>
    <w:rsid w:val="00997F74"/>
    <w:rsid w:val="009A7AF8"/>
    <w:rsid w:val="009B5065"/>
    <w:rsid w:val="009C0AF3"/>
    <w:rsid w:val="00A10035"/>
    <w:rsid w:val="00A479C5"/>
    <w:rsid w:val="00A63B25"/>
    <w:rsid w:val="00A86F82"/>
    <w:rsid w:val="00AD7507"/>
    <w:rsid w:val="00B1727F"/>
    <w:rsid w:val="00B23FCD"/>
    <w:rsid w:val="00B35DD1"/>
    <w:rsid w:val="00B402D2"/>
    <w:rsid w:val="00B45D64"/>
    <w:rsid w:val="00B64E99"/>
    <w:rsid w:val="00B72730"/>
    <w:rsid w:val="00B8118C"/>
    <w:rsid w:val="00B81729"/>
    <w:rsid w:val="00BA441F"/>
    <w:rsid w:val="00BD16B9"/>
    <w:rsid w:val="00BF0E13"/>
    <w:rsid w:val="00BF201A"/>
    <w:rsid w:val="00C07E3E"/>
    <w:rsid w:val="00C11A03"/>
    <w:rsid w:val="00C40853"/>
    <w:rsid w:val="00C52759"/>
    <w:rsid w:val="00CB29B8"/>
    <w:rsid w:val="00CC6641"/>
    <w:rsid w:val="00CD59A6"/>
    <w:rsid w:val="00CE2FF7"/>
    <w:rsid w:val="00CF07D2"/>
    <w:rsid w:val="00CF5BF7"/>
    <w:rsid w:val="00D05A80"/>
    <w:rsid w:val="00D253B3"/>
    <w:rsid w:val="00D40480"/>
    <w:rsid w:val="00D53F81"/>
    <w:rsid w:val="00DB1DBB"/>
    <w:rsid w:val="00DD1E40"/>
    <w:rsid w:val="00DD2AC3"/>
    <w:rsid w:val="00DD357D"/>
    <w:rsid w:val="00DE27F5"/>
    <w:rsid w:val="00E1105C"/>
    <w:rsid w:val="00E11AA9"/>
    <w:rsid w:val="00E506B5"/>
    <w:rsid w:val="00E5385F"/>
    <w:rsid w:val="00E74F1F"/>
    <w:rsid w:val="00F004AD"/>
    <w:rsid w:val="00F01B29"/>
    <w:rsid w:val="00F34AB9"/>
    <w:rsid w:val="00F45746"/>
    <w:rsid w:val="00F504BA"/>
    <w:rsid w:val="00F57545"/>
    <w:rsid w:val="00F647C6"/>
    <w:rsid w:val="00F70609"/>
    <w:rsid w:val="00F76651"/>
    <w:rsid w:val="00F905B1"/>
    <w:rsid w:val="00FC4881"/>
    <w:rsid w:val="00FF43B0"/>
    <w:rsid w:val="03F90AE6"/>
    <w:rsid w:val="0B5331D2"/>
    <w:rsid w:val="0B7849E6"/>
    <w:rsid w:val="1324792E"/>
    <w:rsid w:val="162163A6"/>
    <w:rsid w:val="17FD07F1"/>
    <w:rsid w:val="1B481CDF"/>
    <w:rsid w:val="204F6728"/>
    <w:rsid w:val="21D818E3"/>
    <w:rsid w:val="24AA2A39"/>
    <w:rsid w:val="2589388C"/>
    <w:rsid w:val="2E76670C"/>
    <w:rsid w:val="2E8A1EE2"/>
    <w:rsid w:val="2F05640D"/>
    <w:rsid w:val="32144986"/>
    <w:rsid w:val="33154B6D"/>
    <w:rsid w:val="36070CBD"/>
    <w:rsid w:val="3A445910"/>
    <w:rsid w:val="3FA05CDE"/>
    <w:rsid w:val="401651A8"/>
    <w:rsid w:val="4C3258BB"/>
    <w:rsid w:val="4E5B49D8"/>
    <w:rsid w:val="4E8F6BC1"/>
    <w:rsid w:val="4EC217CD"/>
    <w:rsid w:val="4FF9782A"/>
    <w:rsid w:val="53316F22"/>
    <w:rsid w:val="570766C2"/>
    <w:rsid w:val="59E44CEE"/>
    <w:rsid w:val="631321A0"/>
    <w:rsid w:val="684D51E5"/>
    <w:rsid w:val="696574CD"/>
    <w:rsid w:val="69A51678"/>
    <w:rsid w:val="6EDC1FE0"/>
    <w:rsid w:val="74A4534E"/>
    <w:rsid w:val="757E7851"/>
    <w:rsid w:val="76B84035"/>
    <w:rsid w:val="7DA6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1577</Words>
  <Characters>1951</Characters>
  <Lines>11</Lines>
  <Paragraphs>3</Paragraphs>
  <TotalTime>0</TotalTime>
  <ScaleCrop>false</ScaleCrop>
  <LinksUpToDate>false</LinksUpToDate>
  <CharactersWithSpaces>2012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2021-12-14T10:19:00Z</dcterms:created>
  <dc:creator>lenovo000001</dc:creator>
  <cp:lastModifiedBy>⭐⭐</cp:lastModifiedBy>
  <dcterms:modified xsi:type="dcterms:W3CDTF">2023-10-26T08:44:18Z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E96100EAF5E64D6EA1A5C79420C2BCC9</vt:lpwstr>
  </property>
</Properties>
</file>