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E1" w:rsidRPr="00703CE1" w:rsidRDefault="00703CE1" w:rsidP="00703CE1">
      <w:pPr>
        <w:widowControl/>
        <w:rPr>
          <w:rFonts w:ascii="黑体" w:eastAsia="黑体" w:hint="eastAsia"/>
          <w:sz w:val="32"/>
          <w:szCs w:val="32"/>
        </w:rPr>
      </w:pPr>
      <w:r w:rsidRPr="00703CE1">
        <w:rPr>
          <w:rFonts w:ascii="黑体" w:eastAsia="黑体" w:hint="eastAsia"/>
          <w:sz w:val="32"/>
          <w:szCs w:val="32"/>
        </w:rPr>
        <w:t>附件1</w:t>
      </w:r>
    </w:p>
    <w:p w:rsidR="00FD1C03" w:rsidRPr="00703CE1" w:rsidRDefault="00FD1C03" w:rsidP="00AE2FA4">
      <w:pPr>
        <w:widowControl/>
        <w:jc w:val="center"/>
        <w:rPr>
          <w:rFonts w:ascii="方正小标宋简体" w:eastAsia="方正小标宋简体" w:hint="eastAsia"/>
          <w:sz w:val="32"/>
          <w:szCs w:val="32"/>
        </w:rPr>
      </w:pPr>
      <w:r w:rsidRPr="00703CE1">
        <w:rPr>
          <w:rFonts w:ascii="方正小标宋简体" w:eastAsia="方正小标宋简体" w:hint="eastAsia"/>
          <w:sz w:val="32"/>
          <w:szCs w:val="32"/>
        </w:rPr>
        <w:t>“跨省通办”专窗业务受理流程图</w:t>
      </w:r>
    </w:p>
    <w:p w:rsidR="00FD1C03" w:rsidRDefault="00FD1C03" w:rsidP="00FD1C03"/>
    <w:p w:rsidR="00FD1C03" w:rsidRDefault="00FC5B13" w:rsidP="001E646F">
      <w:pPr>
        <w:jc w:val="center"/>
        <w:rPr>
          <w:b/>
          <w:sz w:val="28"/>
          <w:szCs w:val="28"/>
        </w:rPr>
      </w:pPr>
      <w:r>
        <w:rPr>
          <w:b/>
        </w:rPr>
      </w:r>
      <w:r>
        <w:rPr>
          <w:b/>
        </w:rPr>
        <w:pict>
          <v:group id="_x0000_s1061" editas="canvas" style="width:410.8pt;height:612.2pt;mso-position-horizontal-relative:char;mso-position-vertical-relative:line" coordorigin="2440,9847" coordsize="7122,106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2440;top:9847;width:7122;height:10613" o:preferrelative="f">
              <v:fill o:detectmouseclick="t"/>
              <v:path o:extrusionok="t" o:connecttype="none"/>
              <o:lock v:ext="edit" text="t"/>
            </v:shape>
            <v:roundrect id="_x0000_s1063" style="position:absolute;left:4481;top:9847;width:2744;height:1031" arcsize="10923f">
              <v:textbox style="mso-next-textbox:#_x0000_s1063">
                <w:txbxContent>
                  <w:p w:rsidR="00FD1C03" w:rsidRDefault="00FD1C03" w:rsidP="00FD1C03">
                    <w:r>
                      <w:rPr>
                        <w:rFonts w:hint="eastAsia"/>
                      </w:rPr>
                      <w:t>服务窗口接收缴存人“跨省通办”业务申请</w:t>
                    </w:r>
                    <w:r>
                      <w:rPr>
                        <w:rFonts w:hint="eastAsia"/>
                      </w:rPr>
                      <w:t>,</w:t>
                    </w:r>
                    <w:r>
                      <w:rPr>
                        <w:rFonts w:hint="eastAsia"/>
                      </w:rPr>
                      <w:t>由申请人填写《申请表》。</w:t>
                    </w:r>
                  </w:p>
                </w:txbxContent>
              </v:textbox>
            </v:roundrect>
            <v:shapetype id="_x0000_t32" coordsize="21600,21600" o:spt="32" o:oned="t" path="m,l21600,21600e" filled="f">
              <v:path arrowok="t" fillok="f" o:connecttype="none"/>
              <o:lock v:ext="edit" shapetype="t"/>
            </v:shapetype>
            <v:shape id="_x0000_s1064" type="#_x0000_t32" style="position:absolute;left:5852;top:10878;width:1;height:480;flip:x" o:connectortype="straight">
              <v:stroke endarrow="block"/>
            </v:shape>
            <v:roundrect id="_x0000_s1065" style="position:absolute;left:5171;top:11358;width:2743;height:754" arcsize="10923f">
              <v:textbox style="mso-next-textbox:#_x0000_s1065">
                <w:txbxContent>
                  <w:p w:rsidR="00FD1C03" w:rsidRDefault="00FD1C03" w:rsidP="00FD1C03">
                    <w:r>
                      <w:rPr>
                        <w:rFonts w:hint="eastAsia"/>
                      </w:rPr>
                      <w:t>窗口人员审核申请人或代办人身份材料并</w:t>
                    </w:r>
                    <w:r w:rsidR="00E75920">
                      <w:rPr>
                        <w:rFonts w:hint="eastAsia"/>
                      </w:rPr>
                      <w:t>拍照存</w:t>
                    </w:r>
                    <w:r>
                      <w:rPr>
                        <w:rFonts w:hint="eastAsia"/>
                      </w:rPr>
                      <w:t>档。</w:t>
                    </w:r>
                  </w:p>
                </w:txbxContent>
              </v:textbox>
            </v:roundrect>
            <v:shape id="_x0000_s1066" type="#_x0000_t32" style="position:absolute;left:3804;top:11735;width:1367;height:1;flip:x" o:connectortype="straight">
              <v:stroke endarrow="block"/>
            </v:shape>
            <v:roundrect id="_x0000_s1067" style="position:absolute;left:2608;top:11273;width:1118;height:1014" arcsize="10923f">
              <v:textbox style="mso-next-textbox:#_x0000_s1067">
                <w:txbxContent>
                  <w:p w:rsidR="00FD1C03" w:rsidRDefault="00FD1C03" w:rsidP="00FD1C03">
                    <w:r>
                      <w:rPr>
                        <w:rFonts w:hint="eastAsia"/>
                      </w:rPr>
                      <w:t>告知申请人不通过原因</w:t>
                    </w:r>
                  </w:p>
                </w:txbxContent>
              </v:textbox>
            </v:roundrect>
            <v:shape id="_x0000_s1068" type="#_x0000_t32" style="position:absolute;left:6543;top:12112;width:3;height:667" o:connectortype="straight">
              <v:stroke endarrow="block"/>
            </v:shape>
            <v:roundrect id="_x0000_s1069" style="position:absolute;left:4481;top:12779;width:3433;height:601" arcsize="10923f">
              <v:textbox style="mso-next-textbox:#_x0000_s1069">
                <w:txbxContent>
                  <w:p w:rsidR="00FD1C03" w:rsidRDefault="00FD1C03" w:rsidP="00FD1C03">
                    <w:r>
                      <w:rPr>
                        <w:rFonts w:hint="eastAsia"/>
                      </w:rPr>
                      <w:t>窗口人员向申请人出具业务受理回执。</w:t>
                    </w:r>
                  </w:p>
                </w:txbxContent>
              </v:textbox>
            </v:roundrect>
            <v:shape id="_x0000_s1070" type="#_x0000_t32" style="position:absolute;left:6198;top:13380;width:8;height:344" o:connectortype="straight">
              <v:stroke endarrow="block"/>
            </v:shape>
            <v:roundrect id="_x0000_s1071" style="position:absolute;left:4481;top:13724;width:2966;height:1322" arcsize="10923f">
              <v:textbox style="mso-next-textbox:#_x0000_s1071">
                <w:txbxContent>
                  <w:p w:rsidR="00FD1C03" w:rsidRDefault="00FD1C03" w:rsidP="00FD1C03">
                    <w:r>
                      <w:rPr>
                        <w:rFonts w:hint="eastAsia"/>
                      </w:rPr>
                      <w:t>窗口人员对当日接收全部《申请表》进行拍照，登记业务汇总表，</w:t>
                    </w:r>
                    <w:r w:rsidR="00AF034C">
                      <w:rPr>
                        <w:rFonts w:hint="eastAsia"/>
                      </w:rPr>
                      <w:t>于</w:t>
                    </w:r>
                    <w:r>
                      <w:rPr>
                        <w:rFonts w:hint="eastAsia"/>
                      </w:rPr>
                      <w:t>当日</w:t>
                    </w:r>
                    <w:r>
                      <w:rPr>
                        <w:rFonts w:hint="eastAsia"/>
                      </w:rPr>
                      <w:t>17</w:t>
                    </w:r>
                    <w:r w:rsidR="00AE2FA4">
                      <w:rPr>
                        <w:rFonts w:hint="eastAsia"/>
                      </w:rPr>
                      <w:t>:</w:t>
                    </w:r>
                    <w:r>
                      <w:rPr>
                        <w:rFonts w:hint="eastAsia"/>
                      </w:rPr>
                      <w:t>00</w:t>
                    </w:r>
                    <w:r>
                      <w:rPr>
                        <w:rFonts w:hint="eastAsia"/>
                      </w:rPr>
                      <w:t>前</w:t>
                    </w:r>
                    <w:r w:rsidR="00E75920">
                      <w:rPr>
                        <w:rFonts w:hint="eastAsia"/>
                      </w:rPr>
                      <w:t>通过邮箱</w:t>
                    </w:r>
                    <w:r>
                      <w:rPr>
                        <w:rFonts w:hint="eastAsia"/>
                      </w:rPr>
                      <w:t>提交远服科。</w:t>
                    </w:r>
                  </w:p>
                </w:txbxContent>
              </v:textbox>
            </v:roundrect>
            <v:shape id="_x0000_s1072" type="#_x0000_t32" style="position:absolute;left:5965;top:15046;width:13;height:416" o:connectortype="straight">
              <v:stroke endarrow="block"/>
            </v:shape>
            <v:roundrect id="_x0000_s1073" style="position:absolute;left:3726;top:15326;width:4448;height:1066" arcsize="10923f">
              <v:textbox style="mso-next-textbox:#_x0000_s1073">
                <w:txbxContent>
                  <w:p w:rsidR="00FD1C03" w:rsidRDefault="00FD1C03" w:rsidP="00FD1C03">
                    <w:r>
                      <w:rPr>
                        <w:rFonts w:hint="eastAsia"/>
                      </w:rPr>
                      <w:t>监管服务平台综合联系人在一个工作日内登录平台上传前日申请明细及《申请表》，并发送至属地中心，次日将《申请表》原件邮寄至属地中心。</w:t>
                    </w:r>
                  </w:p>
                </w:txbxContent>
              </v:textbox>
            </v:roundrect>
            <v:shape id="_x0000_s1074" type="#_x0000_t32" style="position:absolute;left:5951;top:16392;width:13;height:403" o:connectortype="straight">
              <v:stroke endarrow="block"/>
            </v:shape>
            <v:roundrect id="_x0000_s1075" style="position:absolute;left:3804;top:16795;width:4708;height:1105" arcsize="10923f">
              <v:textbox style="mso-next-textbox:#_x0000_s1075">
                <w:txbxContent>
                  <w:p w:rsidR="00FD1C03" w:rsidRDefault="00FD1C03" w:rsidP="00FD1C03">
                    <w:r>
                      <w:rPr>
                        <w:rFonts w:hint="eastAsia"/>
                      </w:rPr>
                      <w:t>综合联系人每个工作日登录监管平台，查看前一日接收的业务办理</w:t>
                    </w:r>
                    <w:r w:rsidR="00AF034C">
                      <w:rPr>
                        <w:rFonts w:hint="eastAsia"/>
                      </w:rPr>
                      <w:t>结果</w:t>
                    </w:r>
                    <w:r>
                      <w:rPr>
                        <w:rFonts w:hint="eastAsia"/>
                      </w:rPr>
                      <w:t>并</w:t>
                    </w:r>
                    <w:r w:rsidR="00E75920">
                      <w:rPr>
                        <w:rFonts w:hint="eastAsia"/>
                      </w:rPr>
                      <w:t>通过邮箱</w:t>
                    </w:r>
                    <w:r>
                      <w:rPr>
                        <w:rFonts w:hint="eastAsia"/>
                      </w:rPr>
                      <w:t>分发至相关“跨省通办”服务窗口，</w:t>
                    </w:r>
                    <w:r w:rsidR="00E75920">
                      <w:rPr>
                        <w:rFonts w:hint="eastAsia"/>
                      </w:rPr>
                      <w:t>电话通知窗口人员，并</w:t>
                    </w:r>
                    <w:r>
                      <w:rPr>
                        <w:rFonts w:hint="eastAsia"/>
                      </w:rPr>
                      <w:t>登记业务汇总表。</w:t>
                    </w:r>
                  </w:p>
                </w:txbxContent>
              </v:textbox>
            </v:roundrect>
            <v:shape id="_x0000_s1076" type="#_x0000_t32" style="position:absolute;left:6159;top:17900;width:1;height:429" o:connectortype="straight">
              <v:stroke endarrow="block"/>
            </v:shape>
            <v:roundrect id="_x0000_s1077" style="position:absolute;left:4038;top:18329;width:3876;height:1001" arcsize="10923f">
              <v:textbox style="mso-next-textbox:#_x0000_s1077">
                <w:txbxContent>
                  <w:p w:rsidR="00FD1C03" w:rsidRDefault="00E75920" w:rsidP="00FD1C03">
                    <w:r>
                      <w:rPr>
                        <w:rFonts w:hint="eastAsia"/>
                      </w:rPr>
                      <w:t>窗口服务人员</w:t>
                    </w:r>
                    <w:r w:rsidR="00612307">
                      <w:rPr>
                        <w:rFonts w:hint="eastAsia"/>
                      </w:rPr>
                      <w:t>当日</w:t>
                    </w:r>
                    <w:r>
                      <w:rPr>
                        <w:rFonts w:hint="eastAsia"/>
                      </w:rPr>
                      <w:t>将</w:t>
                    </w:r>
                    <w:r w:rsidR="00FD1C03">
                      <w:rPr>
                        <w:rFonts w:hint="eastAsia"/>
                      </w:rPr>
                      <w:t>业务办理结果</w:t>
                    </w:r>
                    <w:r>
                      <w:rPr>
                        <w:rFonts w:hint="eastAsia"/>
                      </w:rPr>
                      <w:t>反馈申请人，</w:t>
                    </w:r>
                    <w:r w:rsidR="00FD1C03">
                      <w:rPr>
                        <w:rFonts w:hint="eastAsia"/>
                      </w:rPr>
                      <w:t>待收到邮寄的纸质材料与《申请表》一并归档。</w:t>
                    </w:r>
                  </w:p>
                </w:txbxContent>
              </v:textbox>
            </v:roundrect>
            <v:shapetype id="_x0000_t202" coordsize="21600,21600" o:spt="202" path="m,l,21600r21600,l21600,xe">
              <v:stroke joinstyle="miter"/>
              <v:path gradientshapeok="t" o:connecttype="rect"/>
            </v:shapetype>
            <v:shape id="_x0000_s1078" type="#_x0000_t202" style="position:absolute;left:3804;top:11166;width:1180;height:471" strokecolor="white [3212]">
              <v:textbox style="mso-next-textbox:#_x0000_s1078">
                <w:txbxContent>
                  <w:p w:rsidR="00FD1C03" w:rsidRPr="00FD1C03" w:rsidRDefault="00FD1C03">
                    <w:pPr>
                      <w:rPr>
                        <w:sz w:val="18"/>
                        <w:szCs w:val="18"/>
                      </w:rPr>
                    </w:pPr>
                    <w:r w:rsidRPr="00FD1C03">
                      <w:rPr>
                        <w:rFonts w:hint="eastAsia"/>
                        <w:sz w:val="18"/>
                        <w:szCs w:val="18"/>
                      </w:rPr>
                      <w:t>审核不通过</w:t>
                    </w:r>
                  </w:p>
                </w:txbxContent>
              </v:textbox>
            </v:shape>
            <v:shape id="_x0000_s1079" type="#_x0000_t202" style="position:absolute;left:6679;top:12186;width:1833;height:427" strokecolor="white [3212]">
              <v:textbox style="mso-next-textbox:#_x0000_s1079">
                <w:txbxContent>
                  <w:p w:rsidR="00FD1C03" w:rsidRPr="00FD1C03" w:rsidRDefault="00FD1C03">
                    <w:pPr>
                      <w:rPr>
                        <w:sz w:val="18"/>
                        <w:szCs w:val="18"/>
                      </w:rPr>
                    </w:pPr>
                    <w:r w:rsidRPr="00FD1C03">
                      <w:rPr>
                        <w:rFonts w:hint="eastAsia"/>
                        <w:sz w:val="18"/>
                        <w:szCs w:val="18"/>
                      </w:rPr>
                      <w:t>审核通过</w:t>
                    </w:r>
                  </w:p>
                </w:txbxContent>
              </v:textbox>
            </v:shape>
            <w10:wrap type="none"/>
            <w10:anchorlock/>
          </v:group>
        </w:pict>
      </w:r>
    </w:p>
    <w:p w:rsidR="001E646F" w:rsidRPr="00703CE1" w:rsidRDefault="001E646F" w:rsidP="001E646F">
      <w:pPr>
        <w:jc w:val="center"/>
        <w:rPr>
          <w:rFonts w:ascii="方正小标宋简体" w:eastAsia="方正小标宋简体" w:hint="eastAsia"/>
          <w:sz w:val="32"/>
          <w:szCs w:val="32"/>
        </w:rPr>
      </w:pPr>
      <w:bookmarkStart w:id="0" w:name="_GoBack"/>
      <w:r w:rsidRPr="00703CE1">
        <w:rPr>
          <w:rFonts w:ascii="方正小标宋简体" w:eastAsia="方正小标宋简体" w:hint="eastAsia"/>
          <w:sz w:val="32"/>
          <w:szCs w:val="32"/>
        </w:rPr>
        <w:lastRenderedPageBreak/>
        <w:t>“跨省通办”业务综合联系人业务转办流程图</w:t>
      </w:r>
    </w:p>
    <w:bookmarkEnd w:id="0"/>
    <w:p w:rsidR="001E646F" w:rsidRDefault="001E646F" w:rsidP="001E646F">
      <w:pPr>
        <w:rPr>
          <w:b/>
        </w:rPr>
      </w:pPr>
    </w:p>
    <w:p w:rsidR="003B17DB" w:rsidRPr="00AE2FA4" w:rsidRDefault="001E646F" w:rsidP="00AE2FA4">
      <w:pPr>
        <w:ind w:firstLineChars="1200" w:firstLine="2530"/>
        <w:rPr>
          <w:b/>
        </w:rPr>
      </w:pPr>
      <w:r>
        <w:rPr>
          <w:rFonts w:hint="eastAsia"/>
          <w:b/>
        </w:rPr>
        <w:t xml:space="preserve">             </w:t>
      </w:r>
      <w:r w:rsidR="00FC5B13">
        <w:rPr>
          <w:b/>
        </w:rPr>
      </w:r>
      <w:r w:rsidR="00FC5B13">
        <w:rPr>
          <w:b/>
        </w:rPr>
        <w:pict>
          <v:group id="_x0000_s1043" editas="canvas" style="width:446.05pt;height:583.8pt;mso-position-horizontal-relative:char;mso-position-vertical-relative:line" coordorigin="1829,1845" coordsize="7733,10120">
            <o:lock v:ext="edit" aspectratio="t"/>
            <v:shape id="_x0000_s1044" type="#_x0000_t75" style="position:absolute;left:1829;top:1845;width:7733;height:10120" o:preferrelative="f">
              <v:fill o:detectmouseclick="t"/>
              <v:path o:extrusionok="t" o:connecttype="none"/>
              <o:lock v:ext="edit" text="t"/>
            </v:shape>
            <v:roundrect id="_x0000_s1045" style="position:absolute;left:4416;top:1971;width:3122;height:1144" arcsize="10923f">
              <v:textbox style="mso-next-textbox:#_x0000_s1045">
                <w:txbxContent>
                  <w:p w:rsidR="001E646F" w:rsidRDefault="001E646F" w:rsidP="001E646F">
                    <w:r>
                      <w:rPr>
                        <w:rFonts w:hint="eastAsia"/>
                      </w:rPr>
                      <w:t>监管平台综合联系人每个工作日登录平台，查看前一日接收的异地受理中心传递的职工申请。</w:t>
                    </w:r>
                  </w:p>
                </w:txbxContent>
              </v:textbox>
            </v:roundrect>
            <v:shape id="_x0000_s1046" type="#_x0000_t32" style="position:absolute;left:5976;top:3115;width:1;height:455;flip:x" o:connectortype="straight">
              <v:stroke endarrow="block"/>
            </v:shape>
            <v:roundrect id="_x0000_s1047" style="position:absolute;left:4416;top:3570;width:3225;height:1105" arcsize="10923f">
              <v:textbox style="mso-next-textbox:#_x0000_s1047">
                <w:txbxContent>
                  <w:p w:rsidR="001E646F" w:rsidRDefault="001E646F" w:rsidP="001E646F">
                    <w:r>
                      <w:rPr>
                        <w:rFonts w:hint="eastAsia"/>
                      </w:rPr>
                      <w:t>综合联系人将当日接收的申请及业务材料分发到相关“跨省通办”窗口，并督促窗口服务人员当日办结。</w:t>
                    </w:r>
                  </w:p>
                </w:txbxContent>
              </v:textbox>
            </v:roundrect>
            <v:shape id="_x0000_s1048" type="#_x0000_t32" style="position:absolute;left:6029;top:4675;width:1;height:286" o:connectortype="straight">
              <v:stroke endarrow="block"/>
            </v:shape>
            <v:roundrect id="_x0000_s1049" style="position:absolute;left:4780;top:4961;width:3225;height:871" arcsize="10923f">
              <v:textbox style="mso-next-textbox:#_x0000_s1049">
                <w:txbxContent>
                  <w:p w:rsidR="001E646F" w:rsidRDefault="001E646F" w:rsidP="001E646F">
                    <w:r>
                      <w:rPr>
                        <w:rFonts w:hint="eastAsia"/>
                      </w:rPr>
                      <w:t>窗口服务人员对接收的业务材料进行审核。</w:t>
                    </w:r>
                  </w:p>
                </w:txbxContent>
              </v:textbox>
            </v:roundrect>
            <v:shape id="_x0000_s1050" type="#_x0000_t32" style="position:absolute;left:3304;top:5397;width:1476;height:1;flip:x" o:connectortype="straight">
              <v:stroke endarrow="block"/>
            </v:shape>
            <v:roundrect id="_x0000_s1051" style="position:absolute;left:1998;top:4474;width:1306;height:2106" arcsize="10923f">
              <v:textbox style="mso-next-textbox:#_x0000_s1051">
                <w:txbxContent>
                  <w:p w:rsidR="001E646F" w:rsidRDefault="001E646F" w:rsidP="001E646F">
                    <w:r>
                      <w:rPr>
                        <w:rFonts w:hint="eastAsia"/>
                      </w:rPr>
                      <w:t>当日告知综合联系人该申请材料不符合相关规定的原因及需补交材料。</w:t>
                    </w:r>
                  </w:p>
                </w:txbxContent>
              </v:textbox>
            </v:roundrect>
            <v:shape id="_x0000_s1052" type="#_x0000_t32" style="position:absolute;left:2652;top:6580;width:19;height:325" o:connectortype="straight">
              <v:stroke endarrow="block"/>
            </v:shape>
            <v:roundrect id="_x0000_s1053" style="position:absolute;left:1998;top:6905;width:1963;height:2262" arcsize="10923f">
              <v:textbox style="mso-next-textbox:#_x0000_s1053">
                <w:txbxContent>
                  <w:p w:rsidR="001E646F" w:rsidRDefault="001E646F" w:rsidP="001E646F">
                    <w:r>
                      <w:rPr>
                        <w:rFonts w:hint="eastAsia"/>
                      </w:rPr>
                      <w:t>综合联系人当日通过</w:t>
                    </w:r>
                    <w:r w:rsidR="00AF034C">
                      <w:rPr>
                        <w:rFonts w:hint="eastAsia"/>
                      </w:rPr>
                      <w:t>监管服务</w:t>
                    </w:r>
                    <w:r>
                      <w:rPr>
                        <w:rFonts w:hint="eastAsia"/>
                      </w:rPr>
                      <w:t>平台向受理中心反馈业务不符合要求的情况，由受理中心向申请职工进行反馈。</w:t>
                    </w:r>
                  </w:p>
                </w:txbxContent>
              </v:textbox>
            </v:roundrect>
            <v:shape id="_x0000_s1054" type="#_x0000_t32" style="position:absolute;left:6393;top:5832;width:2;height:1580" o:connectortype="straight">
              <v:stroke endarrow="block"/>
            </v:shape>
            <v:roundrect id="_x0000_s1055" style="position:absolute;left:4416;top:7438;width:3199;height:1027" arcsize="10923f">
              <v:textbox style="mso-next-textbox:#_x0000_s1055">
                <w:txbxContent>
                  <w:p w:rsidR="001E646F" w:rsidRDefault="001E646F" w:rsidP="001E646F">
                    <w:r>
                      <w:rPr>
                        <w:rFonts w:hint="eastAsia"/>
                      </w:rPr>
                      <w:t>窗口服务人员依</w:t>
                    </w:r>
                    <w:r w:rsidR="00AF034C">
                      <w:rPr>
                        <w:rFonts w:hint="eastAsia"/>
                      </w:rPr>
                      <w:t>照</w:t>
                    </w:r>
                    <w:r>
                      <w:rPr>
                        <w:rFonts w:hint="eastAsia"/>
                      </w:rPr>
                      <w:t>职工申请</w:t>
                    </w:r>
                    <w:r w:rsidR="00AF034C">
                      <w:rPr>
                        <w:rFonts w:hint="eastAsia"/>
                      </w:rPr>
                      <w:t>及相关业务规范办理</w:t>
                    </w:r>
                    <w:r>
                      <w:rPr>
                        <w:rFonts w:hint="eastAsia"/>
                      </w:rPr>
                      <w:t>业务，对接收的业务材料</w:t>
                    </w:r>
                    <w:r w:rsidR="00AF034C">
                      <w:rPr>
                        <w:rFonts w:hint="eastAsia"/>
                      </w:rPr>
                      <w:t>进行</w:t>
                    </w:r>
                    <w:r>
                      <w:rPr>
                        <w:rFonts w:hint="eastAsia"/>
                      </w:rPr>
                      <w:t>存档，并登记业务汇总表。</w:t>
                    </w:r>
                  </w:p>
                </w:txbxContent>
              </v:textbox>
            </v:roundrect>
            <v:shape id="_x0000_s1056" type="#_x0000_t32" style="position:absolute;left:6054;top:8465;width:12;height:351;flip:x" o:connectortype="straight">
              <v:stroke endarrow="block"/>
            </v:shape>
            <v:roundrect id="_x0000_s1057" style="position:absolute;left:4259;top:8816;width:4591;height:1170" arcsize="10923f">
              <v:textbox style="mso-next-textbox:#_x0000_s1057">
                <w:txbxContent>
                  <w:p w:rsidR="001E646F" w:rsidRDefault="001E646F" w:rsidP="001E646F">
                    <w:r>
                      <w:rPr>
                        <w:rFonts w:hint="eastAsia"/>
                      </w:rPr>
                      <w:t>综合联系人在两个工作日内登录监管平台，将当日办结</w:t>
                    </w:r>
                    <w:r w:rsidR="00AF034C">
                      <w:rPr>
                        <w:rFonts w:hint="eastAsia"/>
                      </w:rPr>
                      <w:t>的业务</w:t>
                    </w:r>
                    <w:r>
                      <w:rPr>
                        <w:rFonts w:hint="eastAsia"/>
                      </w:rPr>
                      <w:t>材料发送至受理中心，次日将业务办结材料原件邮寄至业务受理中心。</w:t>
                    </w:r>
                  </w:p>
                </w:txbxContent>
              </v:textbox>
            </v:roundrect>
            <v:shape id="_x0000_s1058" type="#_x0000_t32" style="position:absolute;left:6757;top:9973;width:19;height:377" o:connectortype="straight">
              <v:stroke endarrow="block"/>
            </v:shape>
            <v:roundrect id="_x0000_s1059" style="position:absolute;left:4416;top:10350;width:4382;height:1066" arcsize="10923f">
              <v:textbox style="mso-next-textbox:#_x0000_s1059">
                <w:txbxContent>
                  <w:p w:rsidR="001E646F" w:rsidRDefault="001E646F" w:rsidP="001E646F">
                    <w:r>
                      <w:rPr>
                        <w:rFonts w:hint="eastAsia"/>
                      </w:rPr>
                      <w:t>综合联系人收到受理中心邮寄的纸质《申请表》及业务材料，转交窗口服务人员，与前期办结的业务材料一并归档。</w:t>
                    </w:r>
                  </w:p>
                </w:txbxContent>
              </v:textbox>
            </v:roundrect>
            <v:shape id="_x0000_s1080" type="#_x0000_t202" style="position:absolute;left:3376;top:4760;width:1249;height:429" strokecolor="white [3212]">
              <v:textbox style="mso-next-textbox:#_x0000_s1080">
                <w:txbxContent>
                  <w:p w:rsidR="00FD1C03" w:rsidRPr="00FD1C03" w:rsidRDefault="00FD1C03">
                    <w:pPr>
                      <w:rPr>
                        <w:sz w:val="18"/>
                        <w:szCs w:val="18"/>
                      </w:rPr>
                    </w:pPr>
                    <w:r w:rsidRPr="00FD1C03">
                      <w:rPr>
                        <w:rFonts w:hint="eastAsia"/>
                        <w:sz w:val="18"/>
                        <w:szCs w:val="18"/>
                      </w:rPr>
                      <w:t>审核不通过</w:t>
                    </w:r>
                  </w:p>
                </w:txbxContent>
              </v:textbox>
            </v:shape>
            <v:shape id="_x0000_s1081" type="#_x0000_t202" style="position:absolute;left:6536;top:5923;width:351;height:1268" strokecolor="white [3212]">
              <v:textbox style="mso-next-textbox:#_x0000_s1081">
                <w:txbxContent>
                  <w:p w:rsidR="00FD1C03" w:rsidRDefault="00FD1C03">
                    <w:r w:rsidRPr="00FD1C03">
                      <w:rPr>
                        <w:rFonts w:hint="eastAsia"/>
                        <w:sz w:val="18"/>
                        <w:szCs w:val="18"/>
                      </w:rPr>
                      <w:t>审核通</w:t>
                    </w:r>
                    <w:r>
                      <w:rPr>
                        <w:rFonts w:hint="eastAsia"/>
                      </w:rPr>
                      <w:t>过</w:t>
                    </w:r>
                  </w:p>
                </w:txbxContent>
              </v:textbox>
            </v:shape>
            <w10:wrap type="none"/>
            <w10:anchorlock/>
          </v:group>
        </w:pict>
      </w:r>
    </w:p>
    <w:sectPr w:rsidR="003B17DB" w:rsidRPr="00AE2FA4" w:rsidSect="003B17D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13" w:rsidRDefault="00FC5B13" w:rsidP="000F459D">
      <w:r>
        <w:separator/>
      </w:r>
    </w:p>
  </w:endnote>
  <w:endnote w:type="continuationSeparator" w:id="0">
    <w:p w:rsidR="00FC5B13" w:rsidRDefault="00FC5B13" w:rsidP="000F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84596"/>
      <w:docPartObj>
        <w:docPartGallery w:val="Page Numbers (Bottom of Page)"/>
        <w:docPartUnique/>
      </w:docPartObj>
    </w:sdtPr>
    <w:sdtEndPr>
      <w:rPr>
        <w:rFonts w:asciiTheme="minorEastAsia" w:eastAsiaTheme="minorEastAsia" w:hAnsiTheme="minorEastAsia"/>
        <w:sz w:val="28"/>
        <w:szCs w:val="28"/>
      </w:rPr>
    </w:sdtEndPr>
    <w:sdtContent>
      <w:p w:rsidR="00703CE1" w:rsidRPr="007F6A06" w:rsidRDefault="007F6A06" w:rsidP="007F6A06">
        <w:pPr>
          <w:pStyle w:val="a5"/>
          <w:jc w:val="center"/>
          <w:rPr>
            <w:rFonts w:asciiTheme="minorEastAsia" w:eastAsiaTheme="minorEastAsia" w:hAnsiTheme="minorEastAsia"/>
            <w:sz w:val="28"/>
            <w:szCs w:val="28"/>
          </w:rPr>
        </w:pPr>
        <w:r w:rsidRPr="007F6A06">
          <w:rPr>
            <w:rFonts w:asciiTheme="minorEastAsia" w:eastAsiaTheme="minorEastAsia" w:hAnsiTheme="minorEastAsia"/>
            <w:sz w:val="28"/>
            <w:szCs w:val="28"/>
          </w:rPr>
          <w:fldChar w:fldCharType="begin"/>
        </w:r>
        <w:r w:rsidRPr="007F6A06">
          <w:rPr>
            <w:rFonts w:asciiTheme="minorEastAsia" w:eastAsiaTheme="minorEastAsia" w:hAnsiTheme="minorEastAsia"/>
            <w:sz w:val="28"/>
            <w:szCs w:val="28"/>
          </w:rPr>
          <w:instrText>PAGE   \* MERGEFORMAT</w:instrText>
        </w:r>
        <w:r w:rsidRPr="007F6A06">
          <w:rPr>
            <w:rFonts w:asciiTheme="minorEastAsia" w:eastAsiaTheme="minorEastAsia" w:hAnsiTheme="minorEastAsia"/>
            <w:sz w:val="28"/>
            <w:szCs w:val="28"/>
          </w:rPr>
          <w:fldChar w:fldCharType="separate"/>
        </w:r>
        <w:r w:rsidR="005D7587" w:rsidRPr="005D7587">
          <w:rPr>
            <w:rFonts w:asciiTheme="minorEastAsia" w:eastAsiaTheme="minorEastAsia" w:hAnsiTheme="minorEastAsia"/>
            <w:noProof/>
            <w:sz w:val="28"/>
            <w:szCs w:val="28"/>
            <w:lang w:val="zh-CN"/>
          </w:rPr>
          <w:t>2</w:t>
        </w:r>
        <w:r w:rsidRPr="007F6A06">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13" w:rsidRDefault="00FC5B13" w:rsidP="000F459D">
      <w:r>
        <w:separator/>
      </w:r>
    </w:p>
  </w:footnote>
  <w:footnote w:type="continuationSeparator" w:id="0">
    <w:p w:rsidR="00FC5B13" w:rsidRDefault="00FC5B13" w:rsidP="000F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E1" w:rsidRDefault="00703CE1" w:rsidP="00703CE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646F"/>
    <w:rsid w:val="00041154"/>
    <w:rsid w:val="000F459D"/>
    <w:rsid w:val="00124235"/>
    <w:rsid w:val="001E646F"/>
    <w:rsid w:val="001E7528"/>
    <w:rsid w:val="003558C0"/>
    <w:rsid w:val="00397241"/>
    <w:rsid w:val="003A4050"/>
    <w:rsid w:val="003B17DB"/>
    <w:rsid w:val="00540AE3"/>
    <w:rsid w:val="00570AF2"/>
    <w:rsid w:val="00573538"/>
    <w:rsid w:val="005D7173"/>
    <w:rsid w:val="005D7587"/>
    <w:rsid w:val="00612307"/>
    <w:rsid w:val="00622C9E"/>
    <w:rsid w:val="0062414C"/>
    <w:rsid w:val="006F10EA"/>
    <w:rsid w:val="00703CE1"/>
    <w:rsid w:val="007F6A06"/>
    <w:rsid w:val="008E5F90"/>
    <w:rsid w:val="00AD3B49"/>
    <w:rsid w:val="00AE2FA4"/>
    <w:rsid w:val="00AF034C"/>
    <w:rsid w:val="00DE43B9"/>
    <w:rsid w:val="00E75920"/>
    <w:rsid w:val="00EA2A56"/>
    <w:rsid w:val="00FC5B13"/>
    <w:rsid w:val="00FD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74">
          <o:proxy start="" idref="#_x0000_s1073" connectloc="2"/>
        </o:r>
        <o:r id="V:Rule2" type="connector" idref="#_x0000_s1054">
          <o:proxy start="" idref="#_x0000_s1049" connectloc="2"/>
        </o:r>
        <o:r id="V:Rule3" type="connector" idref="#_x0000_s1068">
          <o:proxy start="" idref="#_x0000_s1065" connectloc="2"/>
        </o:r>
        <o:r id="V:Rule4" type="connector" idref="#_x0000_s1066">
          <o:proxy start="" idref="#_x0000_s1065" connectloc="1"/>
        </o:r>
        <o:r id="V:Rule5" type="connector" idref="#_x0000_s1052">
          <o:proxy start="" idref="#_x0000_s1051" connectloc="2"/>
        </o:r>
        <o:r id="V:Rule6" type="connector" idref="#_x0000_s1076">
          <o:proxy start="" idref="#_x0000_s1075" connectloc="2"/>
        </o:r>
        <o:r id="V:Rule7" type="connector" idref="#_x0000_s1072">
          <o:proxy start="" idref="#_x0000_s1071" connectloc="2"/>
        </o:r>
        <o:r id="V:Rule8" type="connector" idref="#_x0000_s1064"/>
        <o:r id="V:Rule9" type="connector" idref="#_x0000_s1050">
          <o:proxy start="" idref="#_x0000_s1049" connectloc="1"/>
        </o:r>
        <o:r id="V:Rule10" type="connector" idref="#_x0000_s1046">
          <o:proxy start="" idref="#_x0000_s1045" connectloc="2"/>
        </o:r>
        <o:r id="V:Rule11" type="connector" idref="#_x0000_s1058"/>
        <o:r id="V:Rule12" type="connector" idref="#_x0000_s1070">
          <o:proxy start="" idref="#_x0000_s1069" connectloc="2"/>
        </o:r>
        <o:r id="V:Rule13" type="connector" idref="#_x0000_s1048">
          <o:proxy start="" idref="#_x0000_s1047" connectloc="2"/>
        </o:r>
        <o:r id="V:Rule14" type="connector" idref="#_x0000_s1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4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1C03"/>
    <w:rPr>
      <w:sz w:val="18"/>
      <w:szCs w:val="18"/>
    </w:rPr>
  </w:style>
  <w:style w:type="character" w:customStyle="1" w:styleId="Char">
    <w:name w:val="批注框文本 Char"/>
    <w:basedOn w:val="a0"/>
    <w:link w:val="a3"/>
    <w:uiPriority w:val="99"/>
    <w:semiHidden/>
    <w:rsid w:val="00FD1C03"/>
    <w:rPr>
      <w:rFonts w:ascii="Calibri" w:eastAsia="宋体" w:hAnsi="Calibri" w:cs="Times New Roman"/>
      <w:sz w:val="18"/>
      <w:szCs w:val="18"/>
    </w:rPr>
  </w:style>
  <w:style w:type="paragraph" w:styleId="a4">
    <w:name w:val="header"/>
    <w:basedOn w:val="a"/>
    <w:link w:val="Char0"/>
    <w:uiPriority w:val="99"/>
    <w:unhideWhenUsed/>
    <w:rsid w:val="000F45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F459D"/>
    <w:rPr>
      <w:rFonts w:ascii="Calibri" w:eastAsia="宋体" w:hAnsi="Calibri" w:cs="Times New Roman"/>
      <w:sz w:val="18"/>
      <w:szCs w:val="18"/>
    </w:rPr>
  </w:style>
  <w:style w:type="paragraph" w:styleId="a5">
    <w:name w:val="footer"/>
    <w:basedOn w:val="a"/>
    <w:link w:val="Char1"/>
    <w:uiPriority w:val="99"/>
    <w:unhideWhenUsed/>
    <w:rsid w:val="000F459D"/>
    <w:pPr>
      <w:tabs>
        <w:tab w:val="center" w:pos="4153"/>
        <w:tab w:val="right" w:pos="8306"/>
      </w:tabs>
      <w:snapToGrid w:val="0"/>
      <w:jc w:val="left"/>
    </w:pPr>
    <w:rPr>
      <w:sz w:val="18"/>
      <w:szCs w:val="18"/>
    </w:rPr>
  </w:style>
  <w:style w:type="character" w:customStyle="1" w:styleId="Char1">
    <w:name w:val="页脚 Char"/>
    <w:basedOn w:val="a0"/>
    <w:link w:val="a5"/>
    <w:uiPriority w:val="99"/>
    <w:rsid w:val="000F459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7447-027C-4F56-AD0C-1BCA6DCA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17</Words>
  <Characters>97</Characters>
  <Application>Microsoft Office Word</Application>
  <DocSecurity>0</DocSecurity>
  <Lines>1</Lines>
  <Paragraphs>1</Paragraphs>
  <ScaleCrop>false</ScaleCrop>
  <Company>微软中国</Company>
  <LinksUpToDate>false</LinksUpToDate>
  <CharactersWithSpaces>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汤铮铮</cp:lastModifiedBy>
  <cp:revision>8</cp:revision>
  <cp:lastPrinted>2020-12-21T08:20:00Z</cp:lastPrinted>
  <dcterms:created xsi:type="dcterms:W3CDTF">2020-12-15T02:09:00Z</dcterms:created>
  <dcterms:modified xsi:type="dcterms:W3CDTF">2020-12-23T09:12:00Z</dcterms:modified>
</cp:coreProperties>
</file>